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45</w:t>
      </w:r>
    </w:p>
    <w:p>
      <w:r>
        <w:t>Bundesgericht (BGE), 1986-02-20, DE</w:t>
      </w:r>
    </w:p>
    <w:p>
      <w:r>
        <w:rPr>
          <w:b/>
        </w:rPr>
        <w:t xml:space="preserve">Quelle: </w:t>
      </w:r>
      <w:r>
        <w:t>https://mcp.opencaselaw.ch/entscheid/bge_115 III 45</w:t>
      </w:r>
    </w:p>
    <w:p>
      <w:r>
        <w:t>FR: ATF 115 III 45</w:t>
      </w:r>
    </w:p>
    <w:p>
      <w:r>
        <w:t>IT: DTF 115 III 45</w:t>
      </w:r>
    </w:p>
    <w:p>
      <w:pPr>
        <w:pStyle w:val="Heading2"/>
      </w:pPr>
      <w:r>
        <w:t>Regeste</w:t>
      </w:r>
    </w:p>
    <w:p>
      <w:r>
        <w:t>Regeste Art. 93 SchKG. Kapitalabfindungen der beruflichen Vorsorge unterliegen der beschränkten Pfändbarkeit von Art. 93 SchKG grundsätzlich auch dann, wenn sie bereits ausbezahlt wurden (E. 1). Art. 95 SchKG. Forderungen, die aus einer Kapitalabfindung erworben worden sind und deshalb nur beschränkt pfändbar sind, zählen wie die Lohnguthaben nicht zu den gewöhnlichen Forderungen, welche nach Art. 95 SchKG vor den Liegenschaften zu pfänden sind (E. 2). Das Betreibungsamt kann aus wichtigen Gründen von der in Art. 95 SchKG vorgeschriebenen Reihenfolge abweichen (E. 3).</w:t>
      </w:r>
    </w:p>
    <w:p>
      <w:pPr>
        <w:pStyle w:val="Heading2"/>
      </w:pPr>
      <w:r>
        <w:t>Erwägungen</w:t>
      </w:r>
    </w:p>
    <w:p>
      <w:r>
        <w:rPr>
          <w:b/>
        </w:rPr>
        <w:t>E. 1</w:t>
      </w:r>
    </w:p>
    <w:p>
      <w:r>
        <w:t>Das Betreibungsamt hat die Guthaben des Schuldners bei verschiedenen Banken deshalb nicht gepfändet, weil diese aus einer Kapitalabfindung herrühren, welche Xaver M. bei seiner vorzeitigen Pensionierung von der Personalvorsorgeeinrichtung seiner ehemaligen Arbeitgeberin ausbezahlt erhielt. Gemäss der gefestigten bundesgerichtlichen Rechtsprechung sind Kapitalabfindungen von Einrichtungen der beruflichen Vorsorge wie Renten im Sinne von Art. 93 SchKG nur beschränkt pfändbar (vgl. BGE 53 III 74 ; BGE 60 III 226 ; BGE 62 III 21 ; BGE 63 III 77 ; BGE 78 III 107 ; BlSchK 29. Jahrg. 1965, 1965, S. 148 f.; BGE 113 III 15 ). Von der Gleichbehandlung der Kapitalabfindung mit einer Rente wurde nur in BGE 109 III 82 abgewichen, wo das Bundesgericht entschied, dass die Abgangsentschädigung, die eine Pensionskasse einem austretenden, sich im Konkurs befindenden Mitglied zugesprochen hatte, unter den Konkursbeschlag falle, weil sie mit Ersparnissen zu vergleichen sei, die der Konkursit vor Konkurseröffnung aus seinem Arbeitserwerb hätte machen können. Die Rekurrentin stellt diese Rechtsprechung nicht grundsätzlich in Frage. Sie macht zuerst geltend, was für die fällige, aber noch nicht ausbezahlte Forderung auf Kapitalabfindung gegenüber der Pensionskasse gelte, sei nicht auch für die Ersatzgegenstände massgebend, die der Schuldner mit dem ausbezahlten Kapital erworben habe. a) In der Tat hatte das Bundesgericht bis anhin hauptsächlich zu beurteilen, in welchem Umfang verfallene, aber noch nicht BGE 115 III 45 S. 48 ausgerichtete Ansprüche auf Kapitalabfindungen gegenüber Einrichtungen der beruflichen Vorsorge gepfändet werden können. Nur in BGE 62 III 18 ff. war die Kapitalabfindung vor der Pfändung bereits ausbezahlt und auf zwei Sparheften angelegt worden. Die Rekurrentin verweist darauf, dass in der Lehre die Meinung vertreten werde, bereits ausgerichtete Kapitalabfindungen seien nur insoweit wie Renten beschränkt pfändbar, als "die bereits bezogenen Leistungen (...) sich mit dem übrigen Vermögen noch nicht vermengt haben, sondern vielmehr aus diesem klar ausgeschieden und in eindeutiger Weise qualifiziert werden können" (SIEGRIST, Die Vermögensrechte der Destinatäre von betrieblichen Personalvorsorgeeinrichtungen im Lichte des Schuldbetreibungs- und Konkursrechts, Diss. Zürich 1967, S. 65). b) Die bundesgerichtliche Rechtsprechung bezweckt, den durch Art. 93 SchKG zu verwirklichenden Sozialschutz dem Schuldner unabhängig davon zuteil werden zu lassen, in welcher Form die Vorsorgeeinrichtung ihre Leistung ausrichtet. Dem Schuldner soll es nicht zum Nachteil gereichen, wenn die Vorsorgeeinrichtung ihre Leistung als Kapital und nicht als Rente erbringt. Die beiden Leistungsformen sind grundsätzlich als gleichwertig zu betrachten. Der Schuldner kann nicht gezwungen werden, mit der ihm ausbezahlten Abfindungssumme eine Rente zu kaufen ( BGE 113 III 15 ). Von daher ist nicht einzusehen, warum das ausbezahlte Kapital anders behandelt werden soll als die fällige, aber noch nicht ausgerichtete Kapitalforderung gegenüber der Vorsorgeeinrichtung. Ein Vergleich mit ausbezahltem und erspartem Lohn, welcher grundsätzlich nicht mehr unter Art. 93 SchKG fällt (vgl. JAEGER, Kommentar, N. 1 zu Art. 93 SchKG ), ist nicht am Platze, da dieser im Gegensatz zum ausbezahlten Kapital nicht für den zukünftigen Unterhalt bestimmt ist. Es rechtfertigt sich deshalb, Art. 93 SchKG auch dann anzuwenden, wenn das Kapital bereits ausgerichtet worden ist. c) Demgegenüber mag es fraglich erscheinen, ob der mit Art. 93 SchKG bezweckte Sozialschutz auch dann noch gerechtfertigt ist, wenn der Schuldner das als Abfindung erhaltene Kapital mit seinem übrigen Vermögen vermischt hat oder auf andere Weise zu erkennen gibt, dass er es zweckwidrig nicht für seinen Unterhalt zu verwenden gedenkt. Diese Frage kann indessen offenbleiben, da auch die Rekurrentin nicht behauptet, es habe eine Vermischung mit dem übrigen Vermögen des Schuldners stattgefunden. Der Umstand, dass die Kapitalabfindung in Bankguthaben und Wertschriften BGE 115 III 45 S. 49 angelegt worden ist, vermag auch in keiner Weise darzutun, der Schuldner wolle selber die Kapitalabfindung anders als für seinen künftigen Unterhalt verwenden. Es handelt sich vielmehr um eine gängige Anlageform für Vermögenswerte, die dem zukünftigen Unterhalt dienen und deshalb einerseits einen angemessenen Ertrag abwerfen und andererseits leicht verfügbar sein sollen. Das Betreibungsamt hat somit Art. 93 SchKG zu Recht auf die in Frage stehenden Wertschriften und Bankguthaben anwendbar erklärt.</w:t>
      </w:r>
    </w:p>
    <w:p>
      <w:r>
        <w:rPr>
          <w:b/>
        </w:rPr>
        <w:t>E. 2</w:t>
      </w:r>
    </w:p>
    <w:p>
      <w:r>
        <w:t>Die Rekurrentin macht überdies geltend, aus der Gleichstellung der Kapitalabfindung mit der Rente in bezug auf Art. 93 SchKG dürfe nicht geschlossen werden, dass diese beiden Arten von Leistungen auch bei der Reihenfolge der zu pfändenden Werte gleich zu behandeln seien. a) Nach Art. 95 SchKG ist in erster Linie das bewegliche Vermögen mit Einschluss der Forderungen zu pfänden. Das unbewegliche Vermögen soll grundsätzlich nur dann gepfändet werden, wenn das bewegliche zur Deckung der Forderung nicht ausreicht. Das Bundesgericht hat diese Rangordnung insofern verfeinert, als es die Lohnguthaben nicht zu den gewöhnlichen Forderungen zählt, welche nach Art. 95 SchKG vor den Liegenschaften zu pfänden sind. Sie sind vielmehr nur dann in die Zwangsverwertung einzubeziehen, wenn sonst nichts Pfändbares vorhanden ist, aber immerhin vor den Vermögenswerten, die der Schuldner als Dritten gehörig bezeichnet oder die von Dritten beansprucht werden ( BGE 107 III 81 ; BGE 99 III 54 f.; BGE 97 II 117 f.; BGE 91 III 56 E. 4; BGE 82 III 53 E. 3; AMONN, Grundriss des Schuldbetreibungs- und Konkursrechts, Bern 1988, S. 165). Im ersten Entscheid, in dem das Bundesgericht festhielt, dass eine Lohnforderung erst nach dem unbeweglichen Vermögen zu pfänden sei, konnte es sich auf eine entsprechende Praxis der kantonalen Behörden und die Lehre stützen (vgl. JAEGER, a. a. O., N. 5 zu Art. 93 SchKG am Ende und N. 1 zu Art. 95, S. 290). Das Bundesgericht begründete seinen Entscheid damit, dass die Lohnpfändung genauer betrachtet nur eine bedingte Pfändung sei, bedingt nämlich durch die künftige Entstehung der Lohnforderung und durch die Einschränkung gemäss Art. 93, d.h. nur soweit letztere das Existenzminimum übersteigen wird ( BGE 82 III 53 ). Somit legte das Bundesgericht mehr Gewicht auf die Beschaffenheit der Lohnforderung als auf die Pfändungsbeschränkung nach BGE 115 III 45 S. 50 Art. 93 SchKG . Es erklärte diese Reihenfolge der Pfändung ausdrücklich auch dann für anwendbar, wenn der Notbedarf nur beschränkt zu berücksichtigen ist, weil es sich bei der in Betreibung gesetzten Forderung um Alimente handelt ( BGE 82 III 53 ). In den nachfolgenden Entscheidungen hat die Schuldbetreibungs- und Konkurskammer diese Rechtsprechung bestätigt, ohne auf ihre Begründung weiter einzugehen ( BGE 107 III 81 ; BGE 99 III 54 f.; BGE 97 II 117 f.; BGE 91 III 56 E. 4). c) Die Rekurrentin weist zu Recht darauf hin, dass es sich bei der bereits ausgerichteten Kapitalabfindung im Gegensatz zum zukünftigen Lohn nicht um eine bedingte Forderung handle. Das Kapital steht dem Schuldner bedingungslos zu. Damit entfällt ein wesentlicher Grund dafür, die Pfändung von Grundstücken vorgehen zu lassen. Zu beachten bleibt aber, dass das Kapital nur soweit verwertet werden kann, als es zusammen mit den übrigen Einkünften für den Notbedarf des Schuldners nicht erforderlich ist ( BGE 113 III 16 ). Es ist somit zuerst zu errechnen, wie hoch die jährliche bzw. monatliche Rente wäre, die der Schuldner mit der Kapitalabfindung hätte erwerben können. Sodann ist der monatliche Notbedarf des Schuldners zu bestimmen. Für die Befriedigung des Gläubigers steht schliesslich nur jener Teil des Kapitals zur Verfügung, der während eines Jahres der hypothetischen monatlichen Rente abzüglich des durch das übrige Einkommen nicht gedeckten Notbedarfes entspricht ( BGE 113 III 16 ; vgl. auch JdT 137 (1989), II 116, N. 8). Die Verwertung einer gepfändeten Kapitalabfindung erstreckt sich somit - wie bei einer Lohnpfändung - über ein Jahr, was im allgemeinen weder im Interesse des Gläubigers noch des Schuldners ist. Es rechtfertigt sich deshalb, eine Kapitalabfindung auch mit Bezug auf die Reihenfolge der Pfändung einer Rente gleichzustellen.</w:t>
      </w:r>
    </w:p>
    <w:p>
      <w:r>
        <w:rPr>
          <w:b/>
        </w:rPr>
        <w:t>E. 3</w:t>
      </w:r>
    </w:p>
    <w:p>
      <w:r>
        <w:t>a) Die vom Gesetz und der Rechtsprechung vorgeschriebene Reihenfolge der zu pfändenden Werte enthält allerdings keine starren Rechtssätze. Sie darf bloss als Richtlinie betrachtet werden, wovon aus wichtigen Gründen abgewichen werden kann ( BGE 91 III 56 ; EICHENBERGER, Die Reihenfolge in der Pfändung der Vermögensobjekte nach Art. 95 SchKG , BlSchK 1970, S. 5 oben). Art. 95 SchKG belässt damit dem Betreibungsamt ein gewisses Ermessen. Es hat bei der Auswahl der zu pfändenden Gegenstände die Interessen beider Parteien zu berücksichtigen. Es fragt sich allerdings, ob Art. 95 Abs. 5 SchKG es zulässt, von den in Art. 95 Abs. 1 bis 4 SchKG aufgestellten Grundsätzen abzuweichen, oder BGE 115 III 45 S. 51 ob diese Bestimmung das Betreibungsamt nur verpflichtet, die Interessen beider Parteien angemessen zu berücksichtigen, soweit die Pfändung verschiedener Gegenstände der gleichen Kategorie in Frage steht. Die Vorinstanz hat mit EICHENBERGER (a. a. O. S. 9 f.) ein Abweichen von den in Art. 95 Abs. 1 bis 4 SchKG festgelegten Grundsätzen abgelehnt. Demgegenüber schloss das Bundesgericht in BGE 91 III 56 f. diese Möglichkeit nicht aus. In einem unveröffentlichten Entscheid vom 14. Mai 1987 (i. S. P. c. GE, E. 2) hat es schliesslich die Pfändung eines Ferienhauses vor der Pfändung von Aktien mit der Begründung geschützt, dass dieses Abweichen von den in Art. 95 SchKG aufgestellten Grundsätzen im Interesse der Schuldnerin geboten sei, weil der Aktiengesellschaft das Haus gehörte, welches die Schuldnerin bewohnte. Vom Zweck der Norm her, nämlich die Interessen von Schuldner und Gläubiger angemessen zu wahren und eine möglichst einfache und rasche Verwertung der gepfändeten Gegenstände zu ermöglichen, ist nicht ersichtlich, warum ein Abweichen von der vorgegebenen Rangordnung aus wichtigen Gründen unzulässig sein sollte. Soweit die kantonale Aufsichtsbehörde ein Abweichen von den in Art. 95 Abs. 1 bis 4 SchKG aufgestellten Grundsätzen von vornherein abgelehnt hat, kann dem Entscheid nicht gefolgt werden. b) Die kantonale Aufsichtsbehörde ist aber nicht nur deshalb von der in Art. 95 SchKG festgelegten Pfändungsordnung nicht abgewichen, weil sie diese für zwingend gehalten hat. Sie führt vielmehr zusätzlich aus, dass auch ein Abwägen der Parteiinteressen nicht zu einem anderen Ergebnis führen könne. Die Liegenschaft in K. sei bereits für eine vorgehende Gläubigergruppe gepfändet und in jener Betreibung sei das Verwertungsbegehren schon gestellt worden. Sinngemäss hält die Vorinstanz dem zweifellos bedeutenden Interesse der Rekurrentin daran, dass nicht durch ihre eigene Betreibung jene Liegenschaft verwertet werde, die sie selber bewohnt, entgegen, dass die Verwertung wegen der vorgehenden Gläubiger ohnehin erfolgen werde. Das Verwertungsbegehren sei in dieser ersten Betreibung auch schon gestellt. Demgegenüber bestreitet die Rekurrentin das Vorliegen eines Verwertungsbegehrens bezüglich der Liegenschaft in K. Damit übt sie indessen unzulässige Kritik an den von der Vorinstanz für das Bundesgericht verbindlich festgestellten tatsächlichen Verhältnissen (Art. 81 in Verb. mit 63 Abs. 2 OG). Auf den Rekurs kann insoweit nicht eingetreten werden. Daran kann auch der Umstand nichts ändern, dass das Betreibungsamt der Gemeinde P. in seiner BGE 115 III 45 S. 52 Vernehmlassung die Darstellung der Rekurrentin insofern bestätigt, als es ausführt, die Verwertung könne zur Zeit nicht erfolgen, weil die Leistung des für diese notwendigen Kostenvorschusses von der Rekurrentin verweigert worden sei. Die Vorinstanz ist somit in Abwägung der gegenseitigen Interessen zum Ergebnis gelangt, dass in der vorliegenden Betreibung eine Pfändung der Liegenschaft in K. vor der Kapitalabfindung als angemessen erscheine. Das Bundesgericht kann diesen Entscheid der kantonalen Aufsichtsbehörde nur darauf hin überprüfen, ob nicht Bundesrecht verletzt sei. Demgegenüber ist eine Prüfung auf blosse Unangemessenheit nicht zulässig (vgl. BGE 91 III 57 ). Da die kantonalen Behörden ihr Ermessen weder überschritten noch überhaupt nicht genutzt haben, ist der Entscheid auch in dieser Hinsicht zu schützen.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